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6B" w:rsidRPr="00EA526B" w:rsidRDefault="00EA526B" w:rsidP="00081183">
      <w:pPr>
        <w:spacing w:after="0"/>
        <w:ind w:left="1440"/>
        <w:jc w:val="right"/>
        <w:rPr>
          <w:sz w:val="24"/>
        </w:rPr>
      </w:pPr>
      <w:r w:rsidRPr="00EA526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2C22AC0D" wp14:editId="492F32E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19250" cy="409575"/>
            <wp:effectExtent l="0" t="0" r="0" b="9525"/>
            <wp:wrapNone/>
            <wp:docPr id="2" name="Picture 2" descr="University of Virginia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Virginia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26B">
        <w:rPr>
          <w:sz w:val="24"/>
        </w:rPr>
        <w:t>Environmental Health and Safety</w:t>
      </w:r>
    </w:p>
    <w:p w:rsidR="00EA526B" w:rsidRPr="00EA526B" w:rsidRDefault="00EA526B" w:rsidP="00081183">
      <w:pPr>
        <w:spacing w:after="0"/>
        <w:ind w:left="1440"/>
        <w:jc w:val="right"/>
        <w:rPr>
          <w:sz w:val="24"/>
        </w:rPr>
      </w:pPr>
      <w:r w:rsidRPr="00EA526B">
        <w:rPr>
          <w:sz w:val="24"/>
        </w:rPr>
        <w:t>Chemical and Laboratory Safety</w:t>
      </w:r>
      <w:r w:rsidR="003F6BAC">
        <w:rPr>
          <w:sz w:val="24"/>
        </w:rPr>
        <w:t xml:space="preserve"> Program</w:t>
      </w:r>
    </w:p>
    <w:p w:rsidR="00081183" w:rsidRPr="00EA526B" w:rsidRDefault="000B314E" w:rsidP="00081183">
      <w:pPr>
        <w:spacing w:after="0"/>
        <w:ind w:left="1440"/>
        <w:jc w:val="right"/>
        <w:rPr>
          <w:sz w:val="24"/>
        </w:rPr>
      </w:pPr>
      <w:r>
        <w:fldChar w:fldCharType="begin"/>
      </w:r>
      <w:r>
        <w:instrText xml:space="preserve"> HYPERLINK "http://www.ehs.virginia.edu" </w:instrText>
      </w:r>
      <w:r>
        <w:fldChar w:fldCharType="separate"/>
      </w:r>
      <w:bookmarkStart w:id="0" w:name="_GoBack"/>
      <w:bookmarkEnd w:id="0"/>
      <w:r w:rsidR="00081183" w:rsidRPr="00EA526B">
        <w:rPr>
          <w:rStyle w:val="Hyperlink"/>
          <w:sz w:val="24"/>
        </w:rPr>
        <w:t>ehs.virginia.edu</w:t>
      </w:r>
      <w:r>
        <w:rPr>
          <w:rStyle w:val="Hyperlink"/>
          <w:sz w:val="24"/>
        </w:rPr>
        <w:fldChar w:fldCharType="end"/>
      </w:r>
    </w:p>
    <w:p w:rsidR="00081183" w:rsidRDefault="00081183" w:rsidP="00081183">
      <w:pPr>
        <w:spacing w:after="0"/>
        <w:ind w:left="1440"/>
        <w:jc w:val="right"/>
        <w:rPr>
          <w:sz w:val="24"/>
        </w:rPr>
      </w:pPr>
      <w:r w:rsidRPr="00EA526B">
        <w:rPr>
          <w:sz w:val="24"/>
        </w:rPr>
        <w:t>434-982-4911</w:t>
      </w:r>
    </w:p>
    <w:p w:rsidR="00EA526B" w:rsidRDefault="00EA526B" w:rsidP="00EA526B">
      <w:pPr>
        <w:spacing w:after="0"/>
        <w:rPr>
          <w:sz w:val="28"/>
        </w:rPr>
      </w:pPr>
    </w:p>
    <w:p w:rsidR="00EA526B" w:rsidRPr="00EA526B" w:rsidRDefault="00EA526B" w:rsidP="00EA526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GENERAL LABORATORY SAFETY</w:t>
      </w:r>
    </w:p>
    <w:p w:rsidR="00EA526B" w:rsidRDefault="00EA526B" w:rsidP="00EA526B">
      <w:pPr>
        <w:jc w:val="center"/>
        <w:rPr>
          <w:sz w:val="28"/>
        </w:rPr>
      </w:pPr>
      <w:r>
        <w:rPr>
          <w:sz w:val="28"/>
        </w:rPr>
        <w:t>Self-Assessment Checklist</w:t>
      </w:r>
    </w:p>
    <w:p w:rsidR="00EA526B" w:rsidRDefault="00EA526B" w:rsidP="00EA526B">
      <w:pPr>
        <w:spacing w:after="0"/>
        <w:rPr>
          <w:sz w:val="24"/>
        </w:rPr>
      </w:pPr>
      <w:r>
        <w:rPr>
          <w:sz w:val="24"/>
        </w:rPr>
        <w:t>The Office of Environmental Health and Safety</w:t>
      </w:r>
      <w:r w:rsidR="001933A8">
        <w:rPr>
          <w:sz w:val="24"/>
        </w:rPr>
        <w:t xml:space="preserve"> (EHS)</w:t>
      </w:r>
      <w:r>
        <w:rPr>
          <w:sz w:val="24"/>
        </w:rPr>
        <w:t xml:space="preserve"> encourages laborator</w:t>
      </w:r>
      <w:r w:rsidR="00CD02D1">
        <w:rPr>
          <w:sz w:val="24"/>
        </w:rPr>
        <w:t>y personnel</w:t>
      </w:r>
      <w:r>
        <w:rPr>
          <w:sz w:val="24"/>
        </w:rPr>
        <w:t xml:space="preserve"> to conduct </w:t>
      </w:r>
      <w:r w:rsidR="005C346A">
        <w:rPr>
          <w:sz w:val="24"/>
        </w:rPr>
        <w:t xml:space="preserve">regular </w:t>
      </w:r>
      <w:r w:rsidR="00CD02D1">
        <w:rPr>
          <w:sz w:val="24"/>
        </w:rPr>
        <w:t xml:space="preserve">safety self-assessments. </w:t>
      </w:r>
      <w:r>
        <w:rPr>
          <w:sz w:val="24"/>
        </w:rPr>
        <w:t xml:space="preserve"> </w:t>
      </w:r>
      <w:r w:rsidR="001933A8">
        <w:rPr>
          <w:sz w:val="24"/>
        </w:rPr>
        <w:t>In order to guide you in self-assessment, we have created the</w:t>
      </w:r>
      <w:r>
        <w:rPr>
          <w:sz w:val="24"/>
        </w:rPr>
        <w:t xml:space="preserve"> following checklist of general laboratory safety items that are relevant to </w:t>
      </w:r>
      <w:r w:rsidR="001933A8">
        <w:rPr>
          <w:sz w:val="24"/>
        </w:rPr>
        <w:t xml:space="preserve">most </w:t>
      </w:r>
      <w:r>
        <w:rPr>
          <w:sz w:val="24"/>
        </w:rPr>
        <w:t>research and teaching laboratories at the University of Virginia.</w:t>
      </w:r>
      <w:r w:rsidR="00D75C07">
        <w:rPr>
          <w:sz w:val="24"/>
        </w:rPr>
        <w:t xml:space="preserve"> </w:t>
      </w:r>
      <w:r w:rsidR="0030455C">
        <w:rPr>
          <w:sz w:val="24"/>
        </w:rPr>
        <w:t>The</w:t>
      </w:r>
      <w:r w:rsidR="00D75C07">
        <w:rPr>
          <w:sz w:val="24"/>
        </w:rPr>
        <w:t xml:space="preserve"> below criteria are similar or identical to </w:t>
      </w:r>
      <w:r w:rsidR="00CD02D1">
        <w:rPr>
          <w:sz w:val="24"/>
        </w:rPr>
        <w:t>EHS inspection criteria</w:t>
      </w:r>
      <w:r w:rsidR="00D75C07">
        <w:rPr>
          <w:sz w:val="24"/>
        </w:rPr>
        <w:t xml:space="preserve">. </w:t>
      </w:r>
    </w:p>
    <w:p w:rsidR="001933A8" w:rsidRDefault="001933A8" w:rsidP="00EA526B">
      <w:pPr>
        <w:spacing w:after="0"/>
        <w:rPr>
          <w:sz w:val="24"/>
        </w:rPr>
      </w:pPr>
    </w:p>
    <w:p w:rsidR="001933A8" w:rsidRPr="00912CFA" w:rsidRDefault="001933A8" w:rsidP="00EA526B">
      <w:pPr>
        <w:spacing w:after="0"/>
        <w:rPr>
          <w:sz w:val="24"/>
        </w:rPr>
      </w:pPr>
      <w:r>
        <w:rPr>
          <w:sz w:val="24"/>
        </w:rPr>
        <w:t xml:space="preserve">Refer to the </w:t>
      </w:r>
      <w:r w:rsidR="001F457B">
        <w:rPr>
          <w:sz w:val="24"/>
        </w:rPr>
        <w:t>Lab</w:t>
      </w:r>
      <w:r w:rsidR="00B84494">
        <w:rPr>
          <w:sz w:val="24"/>
        </w:rPr>
        <w:t>oratory</w:t>
      </w:r>
      <w:r w:rsidR="001F457B">
        <w:rPr>
          <w:sz w:val="24"/>
        </w:rPr>
        <w:t xml:space="preserve"> Safety </w:t>
      </w:r>
      <w:r>
        <w:rPr>
          <w:sz w:val="24"/>
        </w:rPr>
        <w:t>Self-Assessment Guidance document for more information on each of the assessment criteria</w:t>
      </w:r>
      <w:r w:rsidR="005C346A">
        <w:rPr>
          <w:sz w:val="24"/>
        </w:rPr>
        <w:t xml:space="preserve"> and for guidance on </w:t>
      </w:r>
      <w:r w:rsidR="00C00798">
        <w:rPr>
          <w:sz w:val="24"/>
        </w:rPr>
        <w:t>maintaining a safe, healthy and compliant environment</w:t>
      </w:r>
      <w:r w:rsidR="005C346A">
        <w:rPr>
          <w:sz w:val="24"/>
        </w:rPr>
        <w:t>.</w:t>
      </w:r>
      <w:r>
        <w:rPr>
          <w:sz w:val="24"/>
        </w:rPr>
        <w:t xml:space="preserve"> </w:t>
      </w:r>
      <w:r w:rsidR="005C346A">
        <w:rPr>
          <w:sz w:val="24"/>
        </w:rPr>
        <w:t xml:space="preserve">Please contact </w:t>
      </w:r>
      <w:r w:rsidR="00CD02D1">
        <w:rPr>
          <w:sz w:val="24"/>
        </w:rPr>
        <w:t>EHS</w:t>
      </w:r>
      <w:r w:rsidR="005C346A">
        <w:rPr>
          <w:sz w:val="24"/>
        </w:rPr>
        <w:t xml:space="preserve"> if you have questions or need </w:t>
      </w:r>
      <w:r w:rsidR="00D75C07">
        <w:rPr>
          <w:sz w:val="24"/>
        </w:rPr>
        <w:t>guidance on resolving an issue</w:t>
      </w:r>
      <w:r w:rsidR="005C346A">
        <w:rPr>
          <w:sz w:val="24"/>
        </w:rPr>
        <w:t>.</w:t>
      </w:r>
      <w:r w:rsidR="00D75C07">
        <w:rPr>
          <w:sz w:val="24"/>
        </w:rPr>
        <w:t xml:space="preserve"> </w:t>
      </w:r>
      <w:r w:rsidR="007052FC">
        <w:rPr>
          <w:sz w:val="24"/>
        </w:rPr>
        <w:t>We encourage you</w:t>
      </w:r>
      <w:r w:rsidR="00D75C07">
        <w:rPr>
          <w:sz w:val="24"/>
        </w:rPr>
        <w:t xml:space="preserve"> to </w:t>
      </w:r>
      <w:r w:rsidR="00CD02D1">
        <w:rPr>
          <w:sz w:val="24"/>
        </w:rPr>
        <w:t>incorporate</w:t>
      </w:r>
      <w:r w:rsidR="0050336F">
        <w:rPr>
          <w:sz w:val="24"/>
        </w:rPr>
        <w:t xml:space="preserve"> </w:t>
      </w:r>
      <w:r w:rsidR="00D75C07">
        <w:rPr>
          <w:sz w:val="24"/>
        </w:rPr>
        <w:t>lab</w:t>
      </w:r>
      <w:r w:rsidR="00CD02D1">
        <w:rPr>
          <w:sz w:val="24"/>
        </w:rPr>
        <w:t>ora</w:t>
      </w:r>
      <w:r w:rsidR="0050336F">
        <w:rPr>
          <w:sz w:val="24"/>
        </w:rPr>
        <w:t>t</w:t>
      </w:r>
      <w:r w:rsidR="00CD02D1">
        <w:rPr>
          <w:sz w:val="24"/>
        </w:rPr>
        <w:t>ory</w:t>
      </w:r>
      <w:r w:rsidR="00D75C07">
        <w:rPr>
          <w:sz w:val="24"/>
        </w:rPr>
        <w:t>-specific items for inspection</w:t>
      </w:r>
      <w:r w:rsidR="007052FC">
        <w:rPr>
          <w:sz w:val="24"/>
        </w:rPr>
        <w:t xml:space="preserve"> in the space provided</w:t>
      </w:r>
      <w:r w:rsidR="00D75C07">
        <w:rPr>
          <w:sz w:val="24"/>
        </w:rPr>
        <w:t>.</w:t>
      </w:r>
      <w:r w:rsidR="00912CFA">
        <w:rPr>
          <w:sz w:val="24"/>
        </w:rPr>
        <w:t xml:space="preserve"> </w:t>
      </w:r>
      <w:r w:rsidR="00912CFA">
        <w:rPr>
          <w:i/>
          <w:sz w:val="24"/>
        </w:rPr>
        <w:t xml:space="preserve">Note: for the purposes of this document, a ‘laboratory’ includes shops, studios and makerspaces. </w:t>
      </w:r>
    </w:p>
    <w:p w:rsidR="00912CFA" w:rsidRDefault="00912CFA" w:rsidP="00EA526B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2051D8" w:rsidTr="002051D8">
        <w:tc>
          <w:tcPr>
            <w:tcW w:w="6205" w:type="dxa"/>
          </w:tcPr>
          <w:p w:rsidR="002051D8" w:rsidRPr="002051D8" w:rsidRDefault="002051D8" w:rsidP="00EA526B">
            <w:pPr>
              <w:rPr>
                <w:b/>
                <w:sz w:val="24"/>
              </w:rPr>
            </w:pPr>
            <w:r w:rsidRPr="002051D8">
              <w:rPr>
                <w:b/>
                <w:sz w:val="24"/>
              </w:rPr>
              <w:t>Lab PI:</w:t>
            </w:r>
          </w:p>
        </w:tc>
        <w:tc>
          <w:tcPr>
            <w:tcW w:w="4585" w:type="dxa"/>
          </w:tcPr>
          <w:p w:rsidR="002051D8" w:rsidRPr="002051D8" w:rsidRDefault="002051D8" w:rsidP="00EA526B">
            <w:pPr>
              <w:rPr>
                <w:b/>
                <w:sz w:val="24"/>
              </w:rPr>
            </w:pPr>
            <w:r w:rsidRPr="002051D8">
              <w:rPr>
                <w:b/>
                <w:sz w:val="24"/>
              </w:rPr>
              <w:t>Lab Room:</w:t>
            </w:r>
          </w:p>
        </w:tc>
      </w:tr>
      <w:tr w:rsidR="002051D8" w:rsidTr="002051D8">
        <w:tc>
          <w:tcPr>
            <w:tcW w:w="6205" w:type="dxa"/>
          </w:tcPr>
          <w:p w:rsidR="002051D8" w:rsidRPr="002051D8" w:rsidRDefault="002051D8" w:rsidP="002051D8">
            <w:pPr>
              <w:rPr>
                <w:b/>
                <w:sz w:val="24"/>
              </w:rPr>
            </w:pPr>
            <w:r w:rsidRPr="002051D8">
              <w:rPr>
                <w:b/>
                <w:sz w:val="24"/>
              </w:rPr>
              <w:t>Lab Surveyor:</w:t>
            </w:r>
          </w:p>
        </w:tc>
        <w:tc>
          <w:tcPr>
            <w:tcW w:w="4585" w:type="dxa"/>
          </w:tcPr>
          <w:p w:rsidR="002051D8" w:rsidRPr="002051D8" w:rsidRDefault="002051D8" w:rsidP="00EA526B">
            <w:pPr>
              <w:rPr>
                <w:b/>
                <w:sz w:val="24"/>
              </w:rPr>
            </w:pPr>
            <w:r w:rsidRPr="002051D8">
              <w:rPr>
                <w:b/>
                <w:sz w:val="24"/>
              </w:rPr>
              <w:t>Assessment Date:</w:t>
            </w:r>
          </w:p>
        </w:tc>
      </w:tr>
    </w:tbl>
    <w:p w:rsidR="001933A8" w:rsidRDefault="001933A8" w:rsidP="00EA526B">
      <w:pPr>
        <w:spacing w:after="0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72"/>
        <w:gridCol w:w="673"/>
      </w:tblGrid>
      <w:tr w:rsidR="00F81DC2" w:rsidTr="00F81DC2">
        <w:tc>
          <w:tcPr>
            <w:tcW w:w="9445" w:type="dxa"/>
          </w:tcPr>
          <w:p w:rsidR="00F81DC2" w:rsidRPr="002051D8" w:rsidRDefault="00F81DC2" w:rsidP="00EA5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</w:p>
        </w:tc>
        <w:tc>
          <w:tcPr>
            <w:tcW w:w="672" w:type="dxa"/>
          </w:tcPr>
          <w:p w:rsidR="00F81DC2" w:rsidRPr="002051D8" w:rsidRDefault="00F81DC2" w:rsidP="00EA5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73" w:type="dxa"/>
          </w:tcPr>
          <w:p w:rsidR="00F81DC2" w:rsidRPr="002051D8" w:rsidRDefault="00F81DC2" w:rsidP="00EA5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F81DC2" w:rsidTr="00DC16B6">
        <w:tc>
          <w:tcPr>
            <w:tcW w:w="9445" w:type="dxa"/>
          </w:tcPr>
          <w:p w:rsidR="00F81DC2" w:rsidRPr="002051D8" w:rsidRDefault="00F81DC2" w:rsidP="00EA526B">
            <w:r w:rsidRPr="00174D06">
              <w:t>Hazard Communication Sign is up to date (NFPA rating, emergency ph</w:t>
            </w:r>
            <w:r w:rsidR="00CD02D1">
              <w:t>one</w:t>
            </w:r>
            <w:r w:rsidRPr="00174D06">
              <w:t xml:space="preserve"> #’s, etc.)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F9643F">
        <w:tc>
          <w:tcPr>
            <w:tcW w:w="9445" w:type="dxa"/>
          </w:tcPr>
          <w:p w:rsidR="00F81DC2" w:rsidRPr="002051D8" w:rsidRDefault="00F81DC2" w:rsidP="00EA526B">
            <w:r>
              <w:t xml:space="preserve">Personal Protective Equipment is available 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E4714E">
        <w:tc>
          <w:tcPr>
            <w:tcW w:w="9445" w:type="dxa"/>
          </w:tcPr>
          <w:p w:rsidR="00F81DC2" w:rsidRDefault="00F81DC2" w:rsidP="00EA526B">
            <w:pPr>
              <w:rPr>
                <w:sz w:val="24"/>
              </w:rPr>
            </w:pPr>
            <w:r>
              <w:t>PPE is utilized appropriately (e.g. lab coats</w:t>
            </w:r>
            <w:r w:rsidR="00F76FE4">
              <w:t>, gloves</w:t>
            </w:r>
            <w:r>
              <w:t xml:space="preserve"> and safety glasses are worn when personnel are </w:t>
            </w:r>
            <w:r w:rsidR="00CD02D1">
              <w:t>handling</w:t>
            </w:r>
            <w:r>
              <w:t xml:space="preserve"> chemicals</w:t>
            </w:r>
            <w:r w:rsidR="00CD02D1">
              <w:t xml:space="preserve"> or other hazardous materials</w:t>
            </w:r>
            <w:r w:rsidR="00F76FE4">
              <w:t>)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336C27">
        <w:tc>
          <w:tcPr>
            <w:tcW w:w="9445" w:type="dxa"/>
          </w:tcPr>
          <w:p w:rsidR="00F81DC2" w:rsidRPr="002051D8" w:rsidRDefault="00F81DC2" w:rsidP="00F76FE4">
            <w:r>
              <w:t xml:space="preserve">Laboratory areas, including science </w:t>
            </w:r>
            <w:r w:rsidR="00CD02D1">
              <w:t>refrigerators,</w:t>
            </w:r>
            <w:r w:rsidR="0050336F">
              <w:t xml:space="preserve"> </w:t>
            </w:r>
            <w:r>
              <w:t>freezers</w:t>
            </w:r>
            <w:r w:rsidR="00F76FE4">
              <w:t xml:space="preserve"> </w:t>
            </w:r>
            <w:r w:rsidR="00CD02D1">
              <w:t>and cold rooms</w:t>
            </w:r>
            <w:r>
              <w:t>, are free from food and/or drink intended for human consumption</w:t>
            </w:r>
            <w:r w:rsidR="00CD02D1">
              <w:t xml:space="preserve">. 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FE0619">
        <w:tc>
          <w:tcPr>
            <w:tcW w:w="9445" w:type="dxa"/>
          </w:tcPr>
          <w:p w:rsidR="00F81DC2" w:rsidRDefault="00F81DC2" w:rsidP="00912CFA">
            <w:pPr>
              <w:rPr>
                <w:sz w:val="24"/>
              </w:rPr>
            </w:pPr>
            <w:r>
              <w:t xml:space="preserve">Safety Data Sheets </w:t>
            </w:r>
            <w:r w:rsidR="00CD02D1">
              <w:t xml:space="preserve">(SDS) </w:t>
            </w:r>
            <w:r>
              <w:t>for hazardous chemicals  are accessible to all occupants</w:t>
            </w:r>
            <w:r w:rsidR="00F76FE4">
              <w:t xml:space="preserve">, </w:t>
            </w:r>
            <w:r w:rsidR="00CD02D1">
              <w:t>and personnel</w:t>
            </w:r>
            <w:r w:rsidR="00F76FE4">
              <w:t xml:space="preserve"> know how to access SDS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4F3F05">
        <w:tc>
          <w:tcPr>
            <w:tcW w:w="9445" w:type="dxa"/>
          </w:tcPr>
          <w:p w:rsidR="00F81DC2" w:rsidRPr="002051D8" w:rsidRDefault="00BB6874" w:rsidP="00912CFA">
            <w:r>
              <w:t>Verif</w:t>
            </w:r>
            <w:r w:rsidR="00F81DC2">
              <w:t>y occupants have completed EHS Chemical Safety and Waste Training</w:t>
            </w:r>
            <w:r w:rsidR="00CD02D1">
              <w:t xml:space="preserve"> 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CE67CC">
        <w:tc>
          <w:tcPr>
            <w:tcW w:w="9445" w:type="dxa"/>
          </w:tcPr>
          <w:p w:rsidR="00F81DC2" w:rsidRPr="002051D8" w:rsidRDefault="00F81DC2" w:rsidP="00EA526B">
            <w:r>
              <w:t>Lab occupants have received training</w:t>
            </w:r>
            <w:r w:rsidR="00CD02D1">
              <w:t xml:space="preserve"> on specific chemicals used in the laboratory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CE67CC">
        <w:tc>
          <w:tcPr>
            <w:tcW w:w="9445" w:type="dxa"/>
          </w:tcPr>
          <w:p w:rsidR="00F81DC2" w:rsidRDefault="00F81DC2" w:rsidP="00615CE6">
            <w:r>
              <w:t xml:space="preserve">Lab occupants have completed other applicable training </w:t>
            </w:r>
            <w:r w:rsidR="005377D5">
              <w:t>necessary for work</w:t>
            </w:r>
            <w:r>
              <w:t xml:space="preserve"> in the lab</w:t>
            </w:r>
            <w:r w:rsidR="00CD1FA1">
              <w:t xml:space="preserve"> (ex.</w:t>
            </w:r>
            <w:r w:rsidR="005377D5">
              <w:t xml:space="preserve"> </w:t>
            </w:r>
            <w:r w:rsidR="00615CE6">
              <w:t xml:space="preserve">shipping </w:t>
            </w:r>
            <w:r w:rsidR="005377D5">
              <w:t>dry ice</w:t>
            </w:r>
            <w:r w:rsidR="00CD1FA1">
              <w:t>)</w:t>
            </w:r>
            <w:r>
              <w:t>.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CE67CC">
        <w:tc>
          <w:tcPr>
            <w:tcW w:w="9445" w:type="dxa"/>
          </w:tcPr>
          <w:p w:rsidR="00F81DC2" w:rsidRDefault="00F81DC2" w:rsidP="00EA526B">
            <w:r>
              <w:t>Lab occupants know where to access the University</w:t>
            </w:r>
            <w:r w:rsidR="005377D5">
              <w:t xml:space="preserve"> Written</w:t>
            </w:r>
            <w:r>
              <w:t xml:space="preserve"> Hazard Communication Program and Chemical Hygiene Plan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</w:tbl>
    <w:p w:rsidR="002051D8" w:rsidRDefault="002051D8" w:rsidP="00EA526B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72"/>
        <w:gridCol w:w="673"/>
      </w:tblGrid>
      <w:tr w:rsidR="005C346A" w:rsidTr="005C346A">
        <w:tc>
          <w:tcPr>
            <w:tcW w:w="9445" w:type="dxa"/>
          </w:tcPr>
          <w:p w:rsidR="005C346A" w:rsidRDefault="005C346A" w:rsidP="00EA526B">
            <w:pPr>
              <w:rPr>
                <w:sz w:val="24"/>
              </w:rPr>
            </w:pPr>
            <w:r>
              <w:rPr>
                <w:b/>
                <w:sz w:val="24"/>
              </w:rPr>
              <w:t>Chemicals</w:t>
            </w:r>
          </w:p>
        </w:tc>
        <w:tc>
          <w:tcPr>
            <w:tcW w:w="672" w:type="dxa"/>
          </w:tcPr>
          <w:p w:rsidR="005C346A" w:rsidRDefault="005C346A" w:rsidP="00EA526B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73" w:type="dxa"/>
          </w:tcPr>
          <w:p w:rsidR="005C346A" w:rsidRDefault="005C346A" w:rsidP="00EA526B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81DC2" w:rsidTr="0098703E">
        <w:tc>
          <w:tcPr>
            <w:tcW w:w="9445" w:type="dxa"/>
          </w:tcPr>
          <w:p w:rsidR="00F81DC2" w:rsidRPr="002051D8" w:rsidRDefault="00F81DC2" w:rsidP="00EA526B">
            <w:r>
              <w:t>Chemicals are stored separately according to their compatibility and hazard class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98703E">
        <w:tc>
          <w:tcPr>
            <w:tcW w:w="9445" w:type="dxa"/>
          </w:tcPr>
          <w:p w:rsidR="00F81DC2" w:rsidRPr="002051D8" w:rsidRDefault="00F81DC2" w:rsidP="00EA526B">
            <w:r>
              <w:t>Chemicals in any container are properly labeled and covered or closed when not in use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98703E">
        <w:tc>
          <w:tcPr>
            <w:tcW w:w="9445" w:type="dxa"/>
          </w:tcPr>
          <w:p w:rsidR="00F81DC2" w:rsidRDefault="00F81DC2" w:rsidP="00EA526B">
            <w:pPr>
              <w:rPr>
                <w:sz w:val="24"/>
              </w:rPr>
            </w:pPr>
            <w:r>
              <w:t xml:space="preserve">Chemical containers are in good </w:t>
            </w:r>
            <w:r w:rsidR="00264BFD">
              <w:t>condition</w:t>
            </w:r>
            <w:r>
              <w:t xml:space="preserve"> (i.e. </w:t>
            </w:r>
            <w:r w:rsidR="00C855B9">
              <w:t xml:space="preserve">are </w:t>
            </w:r>
            <w:r>
              <w:t>not cracked, no lids missing, etc.)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98703E">
        <w:tc>
          <w:tcPr>
            <w:tcW w:w="9445" w:type="dxa"/>
          </w:tcPr>
          <w:p w:rsidR="00F81DC2" w:rsidRPr="002051D8" w:rsidRDefault="00F81DC2" w:rsidP="00EA526B">
            <w:r>
              <w:t>Chemicals are stored in a generally safe manner (not on the floor</w:t>
            </w:r>
            <w:r w:rsidR="00264BFD">
              <w:t>;</w:t>
            </w:r>
            <w:r>
              <w:t xml:space="preserve"> not above eye level – especially when in glass containers </w:t>
            </w:r>
            <w:r w:rsidR="00264BFD">
              <w:t>or corrosive;</w:t>
            </w:r>
            <w:r>
              <w:t xml:space="preserve"> secondary containment is used where appropriate)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98703E">
        <w:tc>
          <w:tcPr>
            <w:tcW w:w="9445" w:type="dxa"/>
          </w:tcPr>
          <w:p w:rsidR="00F81DC2" w:rsidRPr="002051D8" w:rsidRDefault="00F81DC2" w:rsidP="00BB4CD5">
            <w:r>
              <w:t>Flammable liquids are not purchased in 5 gal</w:t>
            </w:r>
            <w:r w:rsidR="00264BFD">
              <w:t>lon</w:t>
            </w:r>
            <w:r>
              <w:t xml:space="preserve"> cans</w:t>
            </w:r>
            <w:r w:rsidR="00264BFD">
              <w:t xml:space="preserve"> (or larger</w:t>
            </w:r>
            <w:r w:rsidR="00BB4CD5">
              <w:t>)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98703E">
        <w:tc>
          <w:tcPr>
            <w:tcW w:w="9445" w:type="dxa"/>
          </w:tcPr>
          <w:p w:rsidR="00F81DC2" w:rsidRDefault="00F81DC2" w:rsidP="00BB4CD5">
            <w:pPr>
              <w:rPr>
                <w:sz w:val="24"/>
              </w:rPr>
            </w:pPr>
            <w:r>
              <w:t>When flammable solvents</w:t>
            </w:r>
            <w:r w:rsidR="00BB4CD5">
              <w:t xml:space="preserve"> must be kept cold, they </w:t>
            </w:r>
            <w:r>
              <w:t xml:space="preserve">are stored in Flammable Material or Explosion-Proof </w:t>
            </w:r>
            <w:r w:rsidR="00264BFD">
              <w:t>refrigerator</w:t>
            </w:r>
            <w:r>
              <w:t>/freezer (and not a ‘standard’ unit)</w:t>
            </w:r>
          </w:p>
        </w:tc>
        <w:tc>
          <w:tcPr>
            <w:tcW w:w="67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67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</w:tbl>
    <w:p w:rsidR="002051D8" w:rsidRDefault="002051D8" w:rsidP="00EA526B">
      <w:pPr>
        <w:spacing w:after="0"/>
        <w:rPr>
          <w:sz w:val="24"/>
        </w:rPr>
      </w:pPr>
    </w:p>
    <w:p w:rsidR="002051D8" w:rsidRDefault="002051D8" w:rsidP="00EA526B">
      <w:pPr>
        <w:spacing w:after="0"/>
        <w:rPr>
          <w:sz w:val="24"/>
        </w:rPr>
      </w:pPr>
    </w:p>
    <w:p w:rsidR="002051D8" w:rsidRDefault="002051D8" w:rsidP="00EA526B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852"/>
        <w:gridCol w:w="853"/>
      </w:tblGrid>
      <w:tr w:rsidR="005C346A" w:rsidTr="005C346A">
        <w:tc>
          <w:tcPr>
            <w:tcW w:w="9085" w:type="dxa"/>
          </w:tcPr>
          <w:p w:rsidR="005C346A" w:rsidRDefault="005C346A" w:rsidP="00EA526B">
            <w:pPr>
              <w:rPr>
                <w:sz w:val="24"/>
              </w:rPr>
            </w:pPr>
            <w:r w:rsidRPr="002051D8">
              <w:rPr>
                <w:b/>
                <w:sz w:val="24"/>
              </w:rPr>
              <w:t>Compressed Gas</w:t>
            </w:r>
          </w:p>
        </w:tc>
        <w:tc>
          <w:tcPr>
            <w:tcW w:w="852" w:type="dxa"/>
          </w:tcPr>
          <w:p w:rsidR="005C346A" w:rsidRDefault="005C346A" w:rsidP="00EA526B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53" w:type="dxa"/>
          </w:tcPr>
          <w:p w:rsidR="005C346A" w:rsidRDefault="005C346A" w:rsidP="00EA526B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81DC2" w:rsidTr="0008646B">
        <w:tc>
          <w:tcPr>
            <w:tcW w:w="9085" w:type="dxa"/>
          </w:tcPr>
          <w:p w:rsidR="00F81DC2" w:rsidRPr="002051D8" w:rsidRDefault="00F81DC2" w:rsidP="00EA526B">
            <w:r>
              <w:t>Gas Cylinders are properly secured at all times</w:t>
            </w:r>
          </w:p>
        </w:tc>
        <w:tc>
          <w:tcPr>
            <w:tcW w:w="85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08646B">
        <w:tc>
          <w:tcPr>
            <w:tcW w:w="9085" w:type="dxa"/>
          </w:tcPr>
          <w:p w:rsidR="00F81DC2" w:rsidRPr="002051D8" w:rsidRDefault="00F81DC2" w:rsidP="00EA526B">
            <w:r>
              <w:t>Incompatible gas</w:t>
            </w:r>
            <w:r w:rsidR="00F658ED">
              <w:t xml:space="preserve"> cylinders are</w:t>
            </w:r>
            <w:r>
              <w:t xml:space="preserve"> stored at least 20 feet apart or in separate rooms.</w:t>
            </w:r>
          </w:p>
        </w:tc>
        <w:tc>
          <w:tcPr>
            <w:tcW w:w="85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08646B">
        <w:tc>
          <w:tcPr>
            <w:tcW w:w="9085" w:type="dxa"/>
          </w:tcPr>
          <w:p w:rsidR="00F81DC2" w:rsidRPr="002051D8" w:rsidRDefault="00F81DC2" w:rsidP="00EA526B">
            <w:r>
              <w:t xml:space="preserve">Highly toxic </w:t>
            </w:r>
            <w:r w:rsidR="00E22F77">
              <w:t xml:space="preserve">and toxic </w:t>
            </w:r>
            <w:r>
              <w:t xml:space="preserve">gases </w:t>
            </w:r>
            <w:r w:rsidR="00F658ED">
              <w:t xml:space="preserve">cylinders are </w:t>
            </w:r>
            <w:r>
              <w:t>stored under ventilation</w:t>
            </w:r>
            <w:r w:rsidR="00F658ED">
              <w:t xml:space="preserve"> </w:t>
            </w:r>
          </w:p>
        </w:tc>
        <w:tc>
          <w:tcPr>
            <w:tcW w:w="85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08646B">
        <w:tc>
          <w:tcPr>
            <w:tcW w:w="9085" w:type="dxa"/>
          </w:tcPr>
          <w:p w:rsidR="00F81DC2" w:rsidRPr="002051D8" w:rsidRDefault="00F81DC2" w:rsidP="00EA526B">
            <w:r>
              <w:t>Cylinders not in use have regulator removed and are capped.</w:t>
            </w:r>
          </w:p>
        </w:tc>
        <w:tc>
          <w:tcPr>
            <w:tcW w:w="852" w:type="dxa"/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</w:tbl>
    <w:p w:rsidR="002051D8" w:rsidRDefault="002051D8" w:rsidP="00EA526B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852"/>
        <w:gridCol w:w="853"/>
      </w:tblGrid>
      <w:tr w:rsidR="005C346A" w:rsidTr="005377D5">
        <w:tc>
          <w:tcPr>
            <w:tcW w:w="9085" w:type="dxa"/>
            <w:tcBorders>
              <w:bottom w:val="single" w:sz="4" w:space="0" w:color="auto"/>
            </w:tcBorders>
          </w:tcPr>
          <w:p w:rsidR="005C346A" w:rsidRDefault="005C346A" w:rsidP="00EA526B">
            <w:pPr>
              <w:rPr>
                <w:sz w:val="24"/>
              </w:rPr>
            </w:pPr>
            <w:r>
              <w:rPr>
                <w:b/>
                <w:sz w:val="24"/>
              </w:rPr>
              <w:t>Waste</w:t>
            </w:r>
          </w:p>
        </w:tc>
        <w:tc>
          <w:tcPr>
            <w:tcW w:w="852" w:type="dxa"/>
          </w:tcPr>
          <w:p w:rsidR="005C346A" w:rsidRDefault="005C346A" w:rsidP="00EA526B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53" w:type="dxa"/>
          </w:tcPr>
          <w:p w:rsidR="005C346A" w:rsidRDefault="005C346A" w:rsidP="00EA526B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81DC2" w:rsidTr="005377D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2" w:rsidRPr="005377D5" w:rsidRDefault="003F6BAC" w:rsidP="003F6BAC">
            <w:r w:rsidRPr="005377D5">
              <w:t>EHS provided, or otherwise a</w:t>
            </w:r>
            <w:r w:rsidR="00F81DC2" w:rsidRPr="005377D5">
              <w:t>ppropriate</w:t>
            </w:r>
            <w:r w:rsidR="00076801">
              <w:t>,</w:t>
            </w:r>
            <w:r w:rsidR="00F81DC2" w:rsidRPr="005377D5">
              <w:t xml:space="preserve"> waste containers are used.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C855B9" w:rsidTr="005377D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B9" w:rsidRPr="005377D5" w:rsidRDefault="00C855B9" w:rsidP="003F6BAC">
            <w:r w:rsidRPr="005377D5">
              <w:t>Waste containers are properly labeled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C855B9" w:rsidRDefault="00C855B9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C855B9" w:rsidRDefault="00C855B9" w:rsidP="00EA526B">
            <w:pPr>
              <w:rPr>
                <w:sz w:val="24"/>
              </w:rPr>
            </w:pPr>
          </w:p>
        </w:tc>
      </w:tr>
      <w:tr w:rsidR="00F81DC2" w:rsidTr="005377D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2" w:rsidRPr="005377D5" w:rsidRDefault="00F81DC2" w:rsidP="00C855B9">
            <w:r w:rsidRPr="005377D5">
              <w:t xml:space="preserve">Waste containers are </w:t>
            </w:r>
            <w:r w:rsidR="00C855B9" w:rsidRPr="005377D5">
              <w:t>properly closed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5377D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2" w:rsidRPr="005377D5" w:rsidRDefault="00F81DC2" w:rsidP="00EA526B">
            <w:r w:rsidRPr="005377D5">
              <w:t>Waste is not excessively accumulated (</w:t>
            </w:r>
            <w:r w:rsidR="00F658ED" w:rsidRPr="005377D5">
              <w:t>&lt;</w:t>
            </w:r>
            <w:r w:rsidRPr="005377D5">
              <w:t xml:space="preserve"> ten 5-gal carboys)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5377D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2" w:rsidRPr="005377D5" w:rsidRDefault="00F81DC2" w:rsidP="00EA526B">
            <w:r w:rsidRPr="005377D5">
              <w:t>Glass waste is placed in a cardboard box with a ‘waste laboratory glassware’ sticker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5377D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2" w:rsidRPr="005377D5" w:rsidRDefault="00F81DC2" w:rsidP="00EA526B">
            <w:r w:rsidRPr="005377D5">
              <w:t>Sharps containers are not over-filled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5377D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2" w:rsidRPr="005377D5" w:rsidRDefault="00F81DC2" w:rsidP="007A4A7F">
            <w:r w:rsidRPr="005377D5">
              <w:t>Satellite Accumulation Area</w:t>
            </w:r>
            <w:r w:rsidR="00F658ED" w:rsidRPr="005377D5">
              <w:t xml:space="preserve"> (SAA)</w:t>
            </w:r>
            <w:r w:rsidRPr="005377D5">
              <w:t xml:space="preserve"> </w:t>
            </w:r>
            <w:r w:rsidR="007A4A7F" w:rsidRPr="005377D5">
              <w:t>is</w:t>
            </w:r>
            <w:r w:rsidRPr="005377D5">
              <w:t xml:space="preserve"> posted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DC2" w:rsidRDefault="00F81DC2" w:rsidP="00EA526B">
            <w:pPr>
              <w:rPr>
                <w:sz w:val="24"/>
              </w:rPr>
            </w:pPr>
          </w:p>
        </w:tc>
        <w:tc>
          <w:tcPr>
            <w:tcW w:w="853" w:type="dxa"/>
          </w:tcPr>
          <w:p w:rsidR="00F81DC2" w:rsidRDefault="00F81DC2" w:rsidP="00EA526B">
            <w:pPr>
              <w:rPr>
                <w:sz w:val="24"/>
              </w:rPr>
            </w:pPr>
          </w:p>
        </w:tc>
      </w:tr>
      <w:tr w:rsidR="00F81DC2" w:rsidTr="005377D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C2" w:rsidRPr="005377D5" w:rsidRDefault="00F81DC2" w:rsidP="007A4A7F">
            <w:r w:rsidRPr="005377D5">
              <w:t>Full hazardous waste containers are in SAA</w:t>
            </w:r>
            <w:r w:rsidR="006A54D3" w:rsidRPr="005377D5">
              <w:t>, where waste was generated,</w:t>
            </w:r>
            <w:r w:rsidRPr="005377D5">
              <w:t xml:space="preserve"> for pickup</w:t>
            </w:r>
            <w:r w:rsidR="006A54D3" w:rsidRPr="005377D5">
              <w:t xml:space="preserve"> by EHS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DC2" w:rsidRDefault="00F81DC2" w:rsidP="00914D64"/>
        </w:tc>
        <w:tc>
          <w:tcPr>
            <w:tcW w:w="853" w:type="dxa"/>
          </w:tcPr>
          <w:p w:rsidR="00F81DC2" w:rsidRDefault="00F81DC2" w:rsidP="00914D64"/>
        </w:tc>
      </w:tr>
    </w:tbl>
    <w:p w:rsidR="002051D8" w:rsidRDefault="002051D8" w:rsidP="00EA526B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900"/>
        <w:gridCol w:w="805"/>
      </w:tblGrid>
      <w:tr w:rsidR="000A21E0" w:rsidTr="000A21E0">
        <w:tc>
          <w:tcPr>
            <w:tcW w:w="9085" w:type="dxa"/>
          </w:tcPr>
          <w:p w:rsidR="000A21E0" w:rsidRPr="000A21E0" w:rsidRDefault="000A21E0" w:rsidP="00EA526B">
            <w:pPr>
              <w:rPr>
                <w:b/>
                <w:sz w:val="24"/>
              </w:rPr>
            </w:pPr>
            <w:r w:rsidRPr="000A21E0">
              <w:rPr>
                <w:b/>
                <w:sz w:val="24"/>
              </w:rPr>
              <w:t>Facility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A21E0" w:rsidTr="000A21E0">
        <w:tc>
          <w:tcPr>
            <w:tcW w:w="9085" w:type="dxa"/>
          </w:tcPr>
          <w:p w:rsidR="000A21E0" w:rsidRPr="005377D5" w:rsidRDefault="000A21E0" w:rsidP="008648E3">
            <w:r w:rsidRPr="005377D5">
              <w:t>Eyewash is accessible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8648E3" w:rsidTr="000A21E0">
        <w:tc>
          <w:tcPr>
            <w:tcW w:w="9085" w:type="dxa"/>
          </w:tcPr>
          <w:p w:rsidR="008648E3" w:rsidRPr="005377D5" w:rsidRDefault="008648E3" w:rsidP="00EA526B">
            <w:r w:rsidRPr="005377D5">
              <w:t>Safety shower is accessible</w:t>
            </w:r>
          </w:p>
        </w:tc>
        <w:tc>
          <w:tcPr>
            <w:tcW w:w="900" w:type="dxa"/>
          </w:tcPr>
          <w:p w:rsidR="008648E3" w:rsidRDefault="008648E3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8648E3" w:rsidRDefault="008648E3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0A21E0" w:rsidP="00EA526B">
            <w:r w:rsidRPr="005377D5">
              <w:t xml:space="preserve">Eyewash is flushed </w:t>
            </w:r>
            <w:r w:rsidR="00F658ED" w:rsidRPr="005377D5">
              <w:t xml:space="preserve">at least </w:t>
            </w:r>
            <w:r w:rsidRPr="005377D5">
              <w:t>monthly and record</w:t>
            </w:r>
            <w:r w:rsidR="00F658ED" w:rsidRPr="005377D5">
              <w:t>ed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0A21E0" w:rsidP="00EA526B">
            <w:r w:rsidRPr="005377D5">
              <w:t>No extension cords are in permanent use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BB4CD5" w:rsidP="00BB4CD5">
            <w:r w:rsidRPr="005377D5">
              <w:t>Power strips are UL approved.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0A21E0" w:rsidP="00EA526B">
            <w:r w:rsidRPr="005377D5">
              <w:t>No power strips are ‘daisy-chained’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0A21E0" w:rsidP="00EA526B">
            <w:r w:rsidRPr="005377D5">
              <w:t>Laboratory equipment cords are free from damage or fraying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0A21E0" w:rsidP="00EA526B">
            <w:r w:rsidRPr="005377D5">
              <w:t>Electrical panels are kept clear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0A21E0" w:rsidP="00EA526B">
            <w:r w:rsidRPr="005377D5">
              <w:t>Fire extinguishers are kept clear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0A21E0" w:rsidP="008648E3">
            <w:r w:rsidRPr="005377D5">
              <w:t xml:space="preserve">Storage clearance below ceiling is appropriate (18” for </w:t>
            </w:r>
            <w:proofErr w:type="spellStart"/>
            <w:r w:rsidRPr="005377D5">
              <w:t>sprinkle</w:t>
            </w:r>
            <w:r w:rsidR="008648E3" w:rsidRPr="005377D5">
              <w:t>re</w:t>
            </w:r>
            <w:r w:rsidRPr="005377D5">
              <w:t>d</w:t>
            </w:r>
            <w:proofErr w:type="spellEnd"/>
            <w:r w:rsidRPr="005377D5">
              <w:t xml:space="preserve"> and 24” for </w:t>
            </w:r>
            <w:r w:rsidR="008648E3" w:rsidRPr="005377D5">
              <w:t>non</w:t>
            </w:r>
            <w:r w:rsidRPr="005377D5">
              <w:t>-</w:t>
            </w:r>
            <w:proofErr w:type="spellStart"/>
            <w:r w:rsidRPr="005377D5">
              <w:t>sprinkle</w:t>
            </w:r>
            <w:r w:rsidR="008648E3" w:rsidRPr="005377D5">
              <w:t>re</w:t>
            </w:r>
            <w:r w:rsidRPr="005377D5">
              <w:t>d</w:t>
            </w:r>
            <w:proofErr w:type="spellEnd"/>
            <w:r w:rsidRPr="005377D5">
              <w:t>)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  <w:tr w:rsidR="000A21E0" w:rsidTr="000A21E0">
        <w:tc>
          <w:tcPr>
            <w:tcW w:w="9085" w:type="dxa"/>
          </w:tcPr>
          <w:p w:rsidR="000A21E0" w:rsidRPr="005377D5" w:rsidRDefault="00426AFF" w:rsidP="00EA526B">
            <w:r>
              <w:t xml:space="preserve">Chemical </w:t>
            </w:r>
            <w:r w:rsidR="000A21E0" w:rsidRPr="005377D5">
              <w:t>Fume hoods are operational and certified annually</w:t>
            </w:r>
          </w:p>
        </w:tc>
        <w:tc>
          <w:tcPr>
            <w:tcW w:w="900" w:type="dxa"/>
          </w:tcPr>
          <w:p w:rsidR="000A21E0" w:rsidRDefault="000A21E0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0A21E0" w:rsidRDefault="000A21E0" w:rsidP="00EA526B">
            <w:pPr>
              <w:rPr>
                <w:sz w:val="24"/>
              </w:rPr>
            </w:pPr>
          </w:p>
        </w:tc>
      </w:tr>
    </w:tbl>
    <w:p w:rsidR="000A21E0" w:rsidRDefault="00EC0DC9" w:rsidP="00EA526B">
      <w:pPr>
        <w:spacing w:after="0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900"/>
        <w:gridCol w:w="805"/>
      </w:tblGrid>
      <w:tr w:rsidR="00EC0DC9" w:rsidTr="00EC0DC9">
        <w:tc>
          <w:tcPr>
            <w:tcW w:w="9085" w:type="dxa"/>
          </w:tcPr>
          <w:p w:rsidR="00EC0DC9" w:rsidRPr="00EC0DC9" w:rsidRDefault="00EC0DC9" w:rsidP="00EA5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Lab-Specific Items</w:t>
            </w:r>
          </w:p>
        </w:tc>
        <w:tc>
          <w:tcPr>
            <w:tcW w:w="900" w:type="dxa"/>
          </w:tcPr>
          <w:p w:rsidR="00EC0DC9" w:rsidRDefault="00EC0DC9" w:rsidP="00EA526B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05" w:type="dxa"/>
          </w:tcPr>
          <w:p w:rsidR="00EC0DC9" w:rsidRDefault="00EC0DC9" w:rsidP="00EA526B">
            <w:pPr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EC0DC9" w:rsidTr="00EC0DC9">
        <w:tc>
          <w:tcPr>
            <w:tcW w:w="9085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EC0DC9" w:rsidRDefault="00EC0DC9" w:rsidP="00EA526B">
            <w:pPr>
              <w:rPr>
                <w:sz w:val="24"/>
              </w:rPr>
            </w:pPr>
          </w:p>
        </w:tc>
      </w:tr>
      <w:tr w:rsidR="00EC0DC9" w:rsidTr="00EC0DC9">
        <w:tc>
          <w:tcPr>
            <w:tcW w:w="9085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EC0DC9" w:rsidRDefault="00EC0DC9" w:rsidP="00EA526B">
            <w:pPr>
              <w:rPr>
                <w:sz w:val="24"/>
              </w:rPr>
            </w:pPr>
          </w:p>
        </w:tc>
      </w:tr>
      <w:tr w:rsidR="00EC0DC9" w:rsidTr="00EC0DC9">
        <w:tc>
          <w:tcPr>
            <w:tcW w:w="9085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EC0DC9" w:rsidRDefault="00EC0DC9" w:rsidP="00EA526B">
            <w:pPr>
              <w:rPr>
                <w:sz w:val="24"/>
              </w:rPr>
            </w:pPr>
          </w:p>
        </w:tc>
      </w:tr>
      <w:tr w:rsidR="00EC0DC9" w:rsidTr="00EC0DC9">
        <w:tc>
          <w:tcPr>
            <w:tcW w:w="9085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EC0DC9" w:rsidRDefault="00EC0DC9" w:rsidP="00EA526B">
            <w:pPr>
              <w:rPr>
                <w:sz w:val="24"/>
              </w:rPr>
            </w:pPr>
          </w:p>
        </w:tc>
      </w:tr>
      <w:tr w:rsidR="00EC0DC9" w:rsidTr="00EC0DC9">
        <w:tc>
          <w:tcPr>
            <w:tcW w:w="9085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EC0DC9" w:rsidRDefault="00EC0DC9" w:rsidP="00EA526B">
            <w:pPr>
              <w:rPr>
                <w:sz w:val="24"/>
              </w:rPr>
            </w:pPr>
          </w:p>
        </w:tc>
      </w:tr>
      <w:tr w:rsidR="00EC0DC9" w:rsidTr="00EC0DC9">
        <w:tc>
          <w:tcPr>
            <w:tcW w:w="9085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EC0DC9" w:rsidRDefault="00EC0DC9" w:rsidP="00EA526B">
            <w:pPr>
              <w:rPr>
                <w:sz w:val="24"/>
              </w:rPr>
            </w:pPr>
          </w:p>
        </w:tc>
      </w:tr>
      <w:tr w:rsidR="00EC0DC9" w:rsidTr="00EC0DC9">
        <w:tc>
          <w:tcPr>
            <w:tcW w:w="9085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C0DC9" w:rsidRDefault="00EC0DC9" w:rsidP="00EA526B">
            <w:pPr>
              <w:rPr>
                <w:sz w:val="24"/>
              </w:rPr>
            </w:pPr>
          </w:p>
        </w:tc>
        <w:tc>
          <w:tcPr>
            <w:tcW w:w="805" w:type="dxa"/>
          </w:tcPr>
          <w:p w:rsidR="00EC0DC9" w:rsidRDefault="00EC0DC9" w:rsidP="00EA526B">
            <w:pPr>
              <w:rPr>
                <w:sz w:val="24"/>
              </w:rPr>
            </w:pPr>
          </w:p>
        </w:tc>
      </w:tr>
    </w:tbl>
    <w:p w:rsidR="00EC0DC9" w:rsidRDefault="00EC0DC9" w:rsidP="00EA526B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7183" w:rsidTr="008C7183">
        <w:tc>
          <w:tcPr>
            <w:tcW w:w="10790" w:type="dxa"/>
          </w:tcPr>
          <w:p w:rsidR="008C7183" w:rsidRPr="008C7183" w:rsidRDefault="008C7183" w:rsidP="00EA5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Additional </w:t>
            </w:r>
            <w:r w:rsidRPr="008C7183">
              <w:rPr>
                <w:b/>
                <w:sz w:val="24"/>
              </w:rPr>
              <w:t>Comments</w:t>
            </w:r>
          </w:p>
        </w:tc>
      </w:tr>
      <w:tr w:rsidR="008C7183" w:rsidTr="008C7183">
        <w:trPr>
          <w:trHeight w:val="1385"/>
        </w:trPr>
        <w:tc>
          <w:tcPr>
            <w:tcW w:w="10790" w:type="dxa"/>
          </w:tcPr>
          <w:p w:rsidR="008C7183" w:rsidRDefault="008C7183" w:rsidP="00EA526B">
            <w:pPr>
              <w:rPr>
                <w:sz w:val="24"/>
              </w:rPr>
            </w:pPr>
          </w:p>
        </w:tc>
      </w:tr>
    </w:tbl>
    <w:p w:rsidR="008C7183" w:rsidRPr="00EA526B" w:rsidRDefault="008C7183" w:rsidP="00EA526B">
      <w:pPr>
        <w:spacing w:after="0"/>
        <w:rPr>
          <w:sz w:val="24"/>
        </w:rPr>
      </w:pPr>
    </w:p>
    <w:sectPr w:rsidR="008C7183" w:rsidRPr="00EA526B" w:rsidSect="00081183">
      <w:footerReference w:type="default" r:id="rId8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7C" w:rsidRDefault="00F9157C" w:rsidP="00081183">
      <w:pPr>
        <w:spacing w:after="0" w:line="240" w:lineRule="auto"/>
      </w:pPr>
      <w:r>
        <w:separator/>
      </w:r>
    </w:p>
  </w:endnote>
  <w:endnote w:type="continuationSeparator" w:id="0">
    <w:p w:rsidR="00F9157C" w:rsidRDefault="00F9157C" w:rsidP="0008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6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26B" w:rsidRDefault="00EA5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1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1183" w:rsidRDefault="00EA526B" w:rsidP="00081183">
    <w:pPr>
      <w:pStyle w:val="Footer"/>
    </w:pPr>
    <w:r>
      <w:t>Created by Clarissa Lynch      V1 January 2019</w:t>
    </w:r>
    <w:r w:rsidR="001F457B">
      <w:t xml:space="preserve">                                              </w:t>
    </w:r>
    <w:r w:rsidR="001F457B">
      <w:tab/>
      <w:t xml:space="preserve">                     Lab Safety Self-Assessment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7C" w:rsidRDefault="00F9157C" w:rsidP="00081183">
      <w:pPr>
        <w:spacing w:after="0" w:line="240" w:lineRule="auto"/>
      </w:pPr>
      <w:r>
        <w:separator/>
      </w:r>
    </w:p>
  </w:footnote>
  <w:footnote w:type="continuationSeparator" w:id="0">
    <w:p w:rsidR="00F9157C" w:rsidRDefault="00F9157C" w:rsidP="0008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83"/>
    <w:rsid w:val="0002516A"/>
    <w:rsid w:val="00076801"/>
    <w:rsid w:val="00081183"/>
    <w:rsid w:val="000A21E0"/>
    <w:rsid w:val="000B314E"/>
    <w:rsid w:val="001933A8"/>
    <w:rsid w:val="001A1EB7"/>
    <w:rsid w:val="001F457B"/>
    <w:rsid w:val="002051D8"/>
    <w:rsid w:val="00264BFD"/>
    <w:rsid w:val="002658B1"/>
    <w:rsid w:val="0030455C"/>
    <w:rsid w:val="003F6BAC"/>
    <w:rsid w:val="00426AFF"/>
    <w:rsid w:val="00463AF0"/>
    <w:rsid w:val="0050336F"/>
    <w:rsid w:val="005377D5"/>
    <w:rsid w:val="005C346A"/>
    <w:rsid w:val="005F6FD0"/>
    <w:rsid w:val="00615CE6"/>
    <w:rsid w:val="006A54D3"/>
    <w:rsid w:val="007052FC"/>
    <w:rsid w:val="007A4A7F"/>
    <w:rsid w:val="00815818"/>
    <w:rsid w:val="008648E3"/>
    <w:rsid w:val="008C7183"/>
    <w:rsid w:val="00912CFA"/>
    <w:rsid w:val="00914D64"/>
    <w:rsid w:val="00B84494"/>
    <w:rsid w:val="00BB4CD5"/>
    <w:rsid w:val="00BB6874"/>
    <w:rsid w:val="00C00798"/>
    <w:rsid w:val="00C855B9"/>
    <w:rsid w:val="00CD02D1"/>
    <w:rsid w:val="00CD1FA1"/>
    <w:rsid w:val="00D75C07"/>
    <w:rsid w:val="00E22F77"/>
    <w:rsid w:val="00EA526B"/>
    <w:rsid w:val="00EC0DC9"/>
    <w:rsid w:val="00F658ED"/>
    <w:rsid w:val="00F76FE4"/>
    <w:rsid w:val="00F81DC2"/>
    <w:rsid w:val="00F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C5CDBE"/>
  <w15:chartTrackingRefBased/>
  <w15:docId w15:val="{95F51B2E-061A-4E75-97AE-5797D2E3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83"/>
  </w:style>
  <w:style w:type="paragraph" w:styleId="Footer">
    <w:name w:val="footer"/>
    <w:basedOn w:val="Normal"/>
    <w:link w:val="FooterChar"/>
    <w:uiPriority w:val="99"/>
    <w:unhideWhenUsed/>
    <w:rsid w:val="0008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83"/>
  </w:style>
  <w:style w:type="character" w:styleId="Hyperlink">
    <w:name w:val="Hyperlink"/>
    <w:basedOn w:val="DefaultParagraphFont"/>
    <w:uiPriority w:val="99"/>
    <w:unhideWhenUsed/>
    <w:rsid w:val="000811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0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ginia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Clarissa (cl9ev)</dc:creator>
  <cp:keywords/>
  <dc:description/>
  <cp:lastModifiedBy>Kowahl, Vaughn Charles (vck9u)</cp:lastModifiedBy>
  <cp:revision>10</cp:revision>
  <dcterms:created xsi:type="dcterms:W3CDTF">2019-01-18T18:38:00Z</dcterms:created>
  <dcterms:modified xsi:type="dcterms:W3CDTF">2019-01-28T17:22:00Z</dcterms:modified>
</cp:coreProperties>
</file>